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616C42B6" w14:textId="77777777" w:rsidR="00682215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682215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F85EB37" w:rsidR="007E48FA" w:rsidRDefault="00682215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p w14:paraId="65345F57" w14:textId="0A0E34A5" w:rsidR="00682215" w:rsidRPr="008B1A93" w:rsidRDefault="008B1A93" w:rsidP="008B1A93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(川棚町営業時間短縮要請協力金(</w:t>
      </w:r>
      <w:r w:rsidR="006A737D">
        <w:rPr>
          <w:rFonts w:ascii="ＭＳ ゴシック" w:eastAsia="ＭＳ ゴシック" w:hAnsi="ＭＳ ゴシック" w:hint="eastAsia"/>
          <w:b/>
          <w:bCs/>
          <w:sz w:val="22"/>
          <w:szCs w:val="24"/>
        </w:rPr>
        <w:t>第２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5C3797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2"/>
        <w:gridCol w:w="582"/>
        <w:gridCol w:w="464"/>
        <w:gridCol w:w="571"/>
        <w:gridCol w:w="60"/>
        <w:gridCol w:w="511"/>
        <w:gridCol w:w="570"/>
        <w:gridCol w:w="572"/>
        <w:gridCol w:w="420"/>
      </w:tblGrid>
      <w:tr w:rsidR="009B072B" w:rsidRPr="000B0858" w14:paraId="7FC3A005" w14:textId="77777777" w:rsidTr="000B0858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4F5145FA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  <w:bookmarkStart w:id="0" w:name="_GoBack"/>
            <w:bookmarkEnd w:id="0"/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705299DF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F3778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="006A737D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177316E" w:rsidR="00E01EBB" w:rsidRDefault="00E01EBB" w:rsidP="00E01EBB">
            <w:pPr>
              <w:snapToGrid w:val="0"/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8F105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4B03CA7" w14:textId="77777777" w:rsidR="008F1059" w:rsidRPr="000B0858" w:rsidRDefault="008F1059" w:rsidP="00E01EBB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08FF9A" w14:textId="233031A9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0AEDF4EB" w:rsidR="003C017B" w:rsidRPr="000B0858" w:rsidRDefault="009E1748" w:rsidP="008F1059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→店舗の支給額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２５,０００円 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３５０，０００円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8F1059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3E72438D" w:rsidR="00BA4767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="006A737D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</w:t>
            </w:r>
            <w:r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3639D670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296F289F" w:rsidR="00BA4767" w:rsidRPr="00573D4A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0EC62273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28962C32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573D4A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10D9C9EB" w:rsidR="00BA4767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39F7501" w:rsidR="003D5B5A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65152519" w:rsidR="00E739B9" w:rsidRPr="00573D4A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又は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８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月</w:t>
            </w:r>
            <w:r w:rsidR="006A737D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～９月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7E48FA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6CC5E442" w:rsidR="00794370" w:rsidRPr="00573D4A" w:rsidRDefault="008F1059" w:rsidP="008F1059">
            <w:pPr>
              <w:snapToGrid w:val="0"/>
              <w:spacing w:beforeLines="50" w:before="180" w:line="240" w:lineRule="atLeast"/>
              <w:ind w:firstLineChars="400" w:firstLine="8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294691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="00794370"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B780516" w14:textId="77777777" w:rsidR="000E5109" w:rsidRPr="008F1059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22044674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5E14707D" w:rsidR="005C5FF0" w:rsidRPr="00573D4A" w:rsidRDefault="005C5FF0" w:rsidP="008F1059">
            <w:pPr>
              <w:snapToGrid w:val="0"/>
              <w:spacing w:beforeLines="50" w:before="180" w:line="276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2B49AFD6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43F65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573D4A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573D4A" w:rsidRDefault="00E070FD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573D4A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573D4A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20D074EF" w:rsidR="00E070FD" w:rsidRPr="00573D4A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７５,０００円 × 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１，０５０，０００円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1A59278A" w14:textId="12297C31" w:rsidR="00B7261F" w:rsidRPr="000B0858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9E5A6F9" w14:textId="249522C8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前々年との比較による本年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="008F1992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="006A737D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5804EDBE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4B3839A" w14:textId="77777777" w:rsidR="005C5FF0" w:rsidRPr="008F1059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7AD23FC0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51B47288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1F0E2F4D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B315685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573D4A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551BF9D7" w:rsidR="005C5FF0" w:rsidRPr="00573D4A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52F12046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～９月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10D71A8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6CBE8BA0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 ÷ </w:t>
            </w:r>
            <w:r w:rsidR="006A737D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08A7DC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06840F3E" w:rsidR="005C5FF0" w:rsidRPr="00573D4A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・（Ｄ）と（Ｈ）のうち、いずれか低い金額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・（Ｉ） ×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p w14:paraId="7E8EC247" w14:textId="77777777" w:rsidR="005C3797" w:rsidRDefault="005C3797" w:rsidP="005C5FF0">
      <w:pPr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14:paraId="5301AEE4" w14:textId="77777777" w:rsidTr="008F1059">
        <w:trPr>
          <w:trHeight w:val="100"/>
        </w:trPr>
        <w:tc>
          <w:tcPr>
            <w:tcW w:w="9780" w:type="dxa"/>
          </w:tcPr>
          <w:p w14:paraId="71793C0D" w14:textId="3133A624" w:rsidR="008F1059" w:rsidRPr="005C3797" w:rsidRDefault="005C3797" w:rsidP="005C3797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p w14:paraId="068649D6" w14:textId="77777777" w:rsidR="009D6622" w:rsidRPr="005C5FF0" w:rsidRDefault="009D6622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1D2C"/>
    <w:rsid w:val="00206035"/>
    <w:rsid w:val="00233BC6"/>
    <w:rsid w:val="00254111"/>
    <w:rsid w:val="0027551D"/>
    <w:rsid w:val="00282612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614E42"/>
    <w:rsid w:val="00616023"/>
    <w:rsid w:val="0062684B"/>
    <w:rsid w:val="00626948"/>
    <w:rsid w:val="00667D93"/>
    <w:rsid w:val="00675695"/>
    <w:rsid w:val="00682215"/>
    <w:rsid w:val="006A3470"/>
    <w:rsid w:val="006A737D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49DE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F13E-D275-46C3-8833-30116A3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浦 綾乃</cp:lastModifiedBy>
  <cp:revision>9</cp:revision>
  <cp:lastPrinted>2021-08-20T05:02:00Z</cp:lastPrinted>
  <dcterms:created xsi:type="dcterms:W3CDTF">2021-08-17T00:47:00Z</dcterms:created>
  <dcterms:modified xsi:type="dcterms:W3CDTF">2021-08-25T23:39:00Z</dcterms:modified>
</cp:coreProperties>
</file>